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28"/>
          <w:szCs w:val="28"/>
        </w:rPr>
        <w:t>附表1</w:t>
      </w:r>
      <w:r>
        <w:rPr>
          <w:rFonts w:hint="eastAsia" w:ascii="黑体" w:hAnsi="宋体" w:eastAsia="黑体" w:cs="宋体"/>
          <w:sz w:val="32"/>
          <w:szCs w:val="32"/>
        </w:rPr>
        <w:t xml:space="preserve">          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TW" w:eastAsia="zh-TW"/>
        </w:rPr>
      </w:pPr>
    </w:p>
    <w:p>
      <w:pPr>
        <w:spacing w:line="360" w:lineRule="auto"/>
        <w:rPr>
          <w:rFonts w:ascii="宋体" w:hAnsi="宋体" w:cs="宋体"/>
          <w:b/>
          <w:bCs/>
          <w:sz w:val="36"/>
          <w:szCs w:val="36"/>
          <w:lang w:val="zh-TW" w:eastAsia="zh-TW"/>
        </w:rPr>
      </w:pPr>
    </w:p>
    <w:p>
      <w:pPr>
        <w:spacing w:line="360" w:lineRule="auto"/>
        <w:rPr>
          <w:rFonts w:ascii="宋体" w:hAnsi="宋体" w:cs="宋体"/>
          <w:b/>
          <w:bCs/>
          <w:sz w:val="36"/>
          <w:szCs w:val="36"/>
          <w:lang w:val="zh-TW" w:eastAsia="zh-TW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/>
        </w:rPr>
        <w:t>黑龙江省第二届高等学校课程思政教学竞赛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TW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TW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书</w:t>
      </w:r>
    </w:p>
    <w:p>
      <w:pPr>
        <w:widowControl/>
        <w:spacing w:after="156" w:afterLines="5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after="156" w:afterLines="5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after="156" w:afterLines="5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          </w:t>
      </w:r>
    </w:p>
    <w:p>
      <w:pPr>
        <w:widowControl/>
        <w:spacing w:after="156" w:afterLines="5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after="156" w:afterLines="50" w:line="600" w:lineRule="exact"/>
        <w:ind w:firstLine="1920" w:firstLineChars="600"/>
        <w:jc w:val="left"/>
        <w:rPr>
          <w:rFonts w:ascii="黑体" w:hAnsi="宋体" w:eastAsia="黑体" w:cs="黑体"/>
          <w:bCs/>
          <w:kern w:val="0"/>
          <w:sz w:val="32"/>
          <w:szCs w:val="32"/>
          <w:u w:val="single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</w:rPr>
        <w:t>参赛高校：</w:t>
      </w:r>
      <w:r>
        <w:rPr>
          <w:rFonts w:hint="eastAsia" w:ascii="黑体" w:hAnsi="宋体" w:eastAsia="黑体" w:cs="黑体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widowControl/>
        <w:spacing w:after="156" w:afterLines="50" w:line="600" w:lineRule="exact"/>
        <w:ind w:firstLine="1920" w:firstLineChars="600"/>
        <w:jc w:val="left"/>
        <w:rPr>
          <w:rFonts w:ascii="黑体" w:hAnsi="宋体" w:eastAsia="黑体" w:cs="黑体"/>
          <w:bCs/>
          <w:kern w:val="0"/>
          <w:sz w:val="32"/>
          <w:szCs w:val="32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</w:rPr>
        <w:t>参赛课程：</w:t>
      </w:r>
      <w:r>
        <w:rPr>
          <w:rFonts w:hint="eastAsia" w:ascii="黑体" w:hAnsi="宋体" w:eastAsia="黑体" w:cs="黑体"/>
          <w:bCs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黑体" w:hAnsi="宋体" w:eastAsia="黑体" w:cs="黑体"/>
          <w:bCs/>
          <w:kern w:val="0"/>
          <w:sz w:val="32"/>
          <w:szCs w:val="32"/>
        </w:rPr>
        <w:t xml:space="preserve">   </w:t>
      </w:r>
    </w:p>
    <w:p>
      <w:pPr>
        <w:widowControl/>
        <w:spacing w:after="156" w:afterLines="50" w:line="600" w:lineRule="exact"/>
        <w:ind w:firstLine="1920" w:firstLineChars="600"/>
        <w:jc w:val="left"/>
        <w:rPr>
          <w:rFonts w:ascii="黑体" w:hAnsi="宋体" w:eastAsia="黑体" w:cs="黑体"/>
          <w:bCs/>
          <w:kern w:val="0"/>
          <w:sz w:val="32"/>
          <w:szCs w:val="32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</w:rPr>
        <w:t>授课对象：</w:t>
      </w:r>
      <w:r>
        <w:rPr>
          <w:rFonts w:hint="eastAsia" w:ascii="黑体" w:hAnsi="宋体" w:eastAsia="黑体" w:cs="黑体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widowControl/>
        <w:spacing w:after="156" w:afterLines="50" w:line="600" w:lineRule="exact"/>
        <w:ind w:firstLine="1920" w:firstLineChars="600"/>
        <w:jc w:val="left"/>
        <w:rPr>
          <w:rFonts w:ascii="黑体" w:hAnsi="宋体" w:eastAsia="黑体" w:cs="黑体"/>
          <w:bCs/>
          <w:kern w:val="0"/>
          <w:sz w:val="32"/>
          <w:szCs w:val="32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</w:rPr>
        <w:t>参赛教师：</w:t>
      </w:r>
      <w:r>
        <w:rPr>
          <w:rFonts w:hint="eastAsia" w:ascii="黑体" w:hAnsi="宋体" w:eastAsia="黑体" w:cs="黑体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widowControl/>
        <w:spacing w:after="156" w:afterLines="50" w:line="600" w:lineRule="exact"/>
        <w:ind w:firstLine="1920" w:firstLineChars="600"/>
        <w:jc w:val="left"/>
        <w:rPr>
          <w:rFonts w:ascii="黑体" w:hAnsi="宋体" w:eastAsia="黑体" w:cs="黑体"/>
          <w:bCs/>
          <w:kern w:val="0"/>
          <w:sz w:val="32"/>
          <w:szCs w:val="32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</w:rPr>
        <w:t>联系方式：</w:t>
      </w:r>
      <w:r>
        <w:rPr>
          <w:rFonts w:hint="eastAsia" w:ascii="黑体" w:hAnsi="宋体" w:eastAsia="黑体" w:cs="黑体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widowControl/>
        <w:spacing w:after="156" w:afterLines="5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after="156" w:afterLines="5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after="156" w:afterLines="5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after="156" w:afterLines="5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line="560" w:lineRule="exact"/>
        <w:ind w:left="5120" w:hanging="5120" w:hangingChars="1600"/>
        <w:jc w:val="center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黑龙江省教育厅制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2022年11月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  <w:sectPr>
          <w:footerReference r:id="rId4" w:type="default"/>
          <w:pgSz w:w="12240" w:h="15840"/>
          <w:pgMar w:top="1213" w:right="1800" w:bottom="1213" w:left="1800" w:header="1247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widowControl/>
        <w:spacing w:after="156" w:afterLines="50"/>
        <w:jc w:val="left"/>
        <w:rPr>
          <w:rFonts w:ascii="黑体" w:hAnsi="黑体" w:eastAsia="黑体" w:cs="黑体"/>
          <w:bCs/>
          <w:kern w:val="0"/>
          <w:sz w:val="24"/>
        </w:rPr>
      </w:pPr>
      <w:r>
        <w:rPr>
          <w:rFonts w:hint="eastAsia" w:ascii="黑体" w:hAnsi="黑体" w:eastAsia="黑体" w:cs="黑体"/>
          <w:bCs/>
          <w:kern w:val="0"/>
          <w:sz w:val="24"/>
        </w:rPr>
        <w:t>一、基本情况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26"/>
        <w:gridCol w:w="1645"/>
        <w:gridCol w:w="812"/>
        <w:gridCol w:w="1139"/>
        <w:gridCol w:w="1093"/>
        <w:gridCol w:w="124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Email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课程名称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课程</w:t>
            </w:r>
            <w:r>
              <w:rPr>
                <w:rStyle w:val="8"/>
                <w:rFonts w:hint="eastAsia" w:ascii="仿宋_GB2312" w:hAnsi="仿宋_GB2312" w:eastAsia="仿宋_GB2312" w:cs="仿宋_GB2312"/>
                <w:szCs w:val="22"/>
              </w:rPr>
              <w:footnoteReference w:id="0"/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类型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开课年级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ind w:firstLine="336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·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学科</w:t>
            </w:r>
            <w:r>
              <w:rPr>
                <w:rStyle w:val="8"/>
                <w:rFonts w:hint="eastAsia" w:ascii="仿宋_GB2312" w:hAnsi="仿宋_GB2312" w:eastAsia="仿宋_GB2312" w:cs="仿宋_GB2312"/>
                <w:szCs w:val="22"/>
              </w:rPr>
              <w:footnoteReference w:id="1"/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门类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8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参赛教师课程思政建设方面取得成果及获奖情况等）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hAnsi="黑体" w:eastAsia="黑体" w:cs="黑体"/>
          <w:bCs/>
          <w:kern w:val="0"/>
          <w:sz w:val="24"/>
        </w:rPr>
      </w:pPr>
      <w:r>
        <w:rPr>
          <w:rFonts w:hint="eastAsia" w:ascii="黑体" w:hAnsi="黑体" w:eastAsia="黑体" w:cs="黑体"/>
          <w:bCs/>
          <w:kern w:val="0"/>
          <w:sz w:val="24"/>
        </w:rPr>
        <w:t>二、参赛教师近三年内讲授参赛课程情况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31"/>
        <w:gridCol w:w="1705"/>
        <w:gridCol w:w="1617"/>
        <w:gridCol w:w="1343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课程名称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授课学期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授课学时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授课对象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总人数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教学效果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hAnsi="黑体" w:eastAsia="黑体" w:cs="黑体"/>
          <w:bCs/>
          <w:kern w:val="0"/>
          <w:sz w:val="24"/>
        </w:rPr>
      </w:pPr>
      <w:r>
        <w:rPr>
          <w:rFonts w:hint="eastAsia" w:ascii="黑体" w:hAnsi="黑体" w:eastAsia="黑体" w:cs="黑体"/>
          <w:bCs/>
          <w:kern w:val="0"/>
          <w:sz w:val="24"/>
        </w:rPr>
        <w:t>三、课程思政建设情况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exac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1.总体设计情况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，500字左右）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exac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2.教学实践及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（描述如何深入挖掘思想政治教育资源，完善课程内容，改进教学方法，探索创新课程思政建设模式和方法路径，将课程思政建设目标融入教学全过程，课程思政教学改革成效、示范辐射等情况，800字左右）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exac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3.课程特色与创新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（概述在课程思政建设方面的特色、亮点和创新点，形成的可供同类课程借鉴共享的经验做法等，500字左右）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pStyle w:val="9"/>
        <w:widowControl/>
        <w:spacing w:after="156" w:afterLines="50" w:line="340" w:lineRule="atLeast"/>
        <w:ind w:firstLine="0" w:firstLineChars="0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kern w:val="0"/>
          <w:sz w:val="24"/>
          <w:szCs w:val="24"/>
        </w:rPr>
        <w:t>四、附件材料清单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firstLine="422" w:firstLineChars="200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1.教学大纲</w:t>
            </w:r>
          </w:p>
          <w:p>
            <w:pPr>
              <w:spacing w:line="340" w:lineRule="exact"/>
              <w:ind w:left="420" w:leftChars="200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2.课程教案</w:t>
            </w:r>
          </w:p>
          <w:p>
            <w:pPr>
              <w:spacing w:line="340" w:lineRule="exact"/>
              <w:ind w:left="420" w:left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（提供参赛课程完整教案）</w:t>
            </w:r>
          </w:p>
          <w:p>
            <w:pPr>
              <w:spacing w:line="340" w:lineRule="exact"/>
              <w:ind w:left="420" w:left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3.教学设计典型案例</w:t>
            </w:r>
          </w:p>
          <w:p>
            <w:pPr>
              <w:spacing w:line="34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（提供2个教学设计典型案例，每个案例需提供1个学时的完整教学设计和教学实施流程说明，尽可能细致地反映出教师的思考和教学设计，每个案例不少于5张图片，应具有较强的可读性，图文结合，表述清晰流畅）</w:t>
            </w:r>
          </w:p>
          <w:p>
            <w:pPr>
              <w:spacing w:line="340" w:lineRule="exact"/>
              <w:ind w:left="420" w:leftChars="200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2"/>
              </w:rPr>
              <w:t>4.现场说课及教学演示PPT文稿</w:t>
            </w:r>
          </w:p>
          <w:p>
            <w:pPr>
              <w:spacing w:line="34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（提供10分钟说课+20分钟教学演示PPT文稿，每位参赛教师说课与教学演示连续进行，整合为1个PPT文件即可。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若为体育、艺术等实践类课程，教师可通过视频结合方式进行现场教学演示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）。</w:t>
            </w:r>
          </w:p>
          <w:p>
            <w:pPr>
              <w:spacing w:line="340" w:lineRule="atLeast"/>
              <w:ind w:firstLine="42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以上材料根据各校授课实际准备，无统一模板要求。所有材料均可能网上公开，请严格审查，确保不违反有关法律及保密规定。</w:t>
            </w: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hAnsi="黑体" w:eastAsia="黑体" w:cs="黑体"/>
          <w:bCs/>
          <w:kern w:val="0"/>
          <w:sz w:val="24"/>
        </w:rPr>
      </w:pPr>
      <w:r>
        <w:rPr>
          <w:rFonts w:hint="eastAsia" w:ascii="黑体" w:hAnsi="黑体" w:eastAsia="黑体" w:cs="黑体"/>
          <w:bCs/>
          <w:kern w:val="0"/>
          <w:sz w:val="24"/>
        </w:rPr>
        <w:t>五、推荐意见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学校教务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部门意见</w:t>
            </w:r>
          </w:p>
        </w:tc>
        <w:tc>
          <w:tcPr>
            <w:tcW w:w="7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及推荐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7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参赛课程内容及上传的相关材料思想导向正确，不存在政治性问题。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参赛教师遵纪守法，无违法违纪行为，不存在师德师风问题、学术不端等问题，三年内未出现过教学事故。</w:t>
            </w: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学校党委（盖章）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 xml:space="preserve">                                        年   月   日</w:t>
            </w:r>
          </w:p>
        </w:tc>
      </w:tr>
    </w:tbl>
    <w:p>
      <w:pPr>
        <w:rPr>
          <w:rFonts w:eastAsia="仿宋_GB2312"/>
          <w:color w:val="auto"/>
          <w:sz w:val="22"/>
          <w:szCs w:val="2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shape id="4097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  <w:widowControl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2"/>
          <w:vertAlign w:val="superscript"/>
        </w:rPr>
        <w:t>1</w:t>
      </w:r>
      <w:r>
        <w:rPr>
          <w:rFonts w:hint="eastAsia" w:ascii="宋体" w:hAnsi="宋体" w:eastAsia="宋体" w:cs="宋体"/>
          <w:sz w:val="21"/>
          <w:szCs w:val="22"/>
        </w:rPr>
        <w:t>分公共基础课程、专业教育课程、实践类课程三类</w:t>
      </w:r>
    </w:p>
    <w:p>
      <w:pPr>
        <w:pStyle w:val="5"/>
        <w:widowControl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vertAlign w:val="superscript"/>
        </w:rPr>
        <w:t>2</w:t>
      </w:r>
      <w:r>
        <w:rPr>
          <w:rFonts w:hint="eastAsia" w:ascii="宋体" w:hAnsi="宋体" w:eastAsia="宋体" w:cs="宋体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;按照教育部《职业教育专业目录（2021年）》填写：农林牧渔大类—41，资源环境与安全大类—42，能源动力与材料大类—43，土木建筑大类—44，水利大类—45，装备制造大类—46，生物与化工大类—47，轻工纺织大类—48，食品药品与粮食大类—49，交通运输大类—50，电子与信息大类—51，医药卫生大类—52，财经商贸大类—53，旅游大类—54，文化艺术大类—55，新闻传播大类—56，教育与体育大类—57，公安与司法大类—58，公共管理与服务大类—59</w:t>
      </w:r>
    </w:p>
    <w:p>
      <w:pPr>
        <w:pStyle w:val="5"/>
        <w:widowControl/>
        <w:rPr>
          <w:rFonts w:ascii="宋体" w:hAnsi="宋体" w:eastAsia="宋体" w:cs="宋体"/>
        </w:rPr>
      </w:pPr>
    </w:p>
  </w:footnote>
  <w:footnote w:id="1">
    <w:p>
      <w:pPr>
        <w:pStyle w:val="5"/>
        <w:widowControl/>
        <w:rPr>
          <w:rFonts w:ascii="宋体" w:hAnsi="宋体" w:eastAsia="宋体" w:cs="宋体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JlYmM2YjFmNGJkZTc1ZjU1NjNjNzM0ODg4MzNhMGUifQ=="/>
  </w:docVars>
  <w:rsids>
    <w:rsidRoot w:val="00000000"/>
    <w:rsid w:val="0595222B"/>
    <w:rsid w:val="0ABE6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rFonts w:ascii="Calibri" w:hAnsi="Calibri" w:eastAsia="等线"/>
      <w:sz w:val="18"/>
      <w:szCs w:val="18"/>
    </w:rPr>
  </w:style>
  <w:style w:type="character" w:styleId="8">
    <w:name w:val="footnote reference"/>
    <w:basedOn w:val="7"/>
    <w:uiPriority w:val="0"/>
    <w:rPr>
      <w:vertAlign w:val="superscript"/>
    </w:rPr>
  </w:style>
  <w:style w:type="paragraph" w:customStyle="1" w:styleId="9">
    <w:name w:val="msolistparagraph"/>
    <w:basedOn w:val="1"/>
    <w:uiPriority w:val="0"/>
    <w:pPr>
      <w:ind w:firstLine="420" w:firstLineChars="200"/>
    </w:pPr>
    <w:rPr>
      <w:rFonts w:ascii="Calibri" w:hAnsi="Calibri" w:eastAsia="等线"/>
      <w:szCs w:val="22"/>
    </w:rPr>
  </w:style>
  <w:style w:type="paragraph" w:customStyle="1" w:styleId="10">
    <w:name w:val="List Paragraph_e3089529-1fe3-4962-8afb-22aebb055a3d"/>
    <w:basedOn w:val="1"/>
    <w:qFormat/>
    <w:uiPriority w:val="99"/>
    <w:pPr>
      <w:ind w:firstLine="420" w:firstLineChars="200"/>
    </w:pPr>
  </w:style>
  <w:style w:type="paragraph" w:customStyle="1" w:styleId="11">
    <w:name w:val="Body text|3"/>
    <w:basedOn w:val="1"/>
    <w:qFormat/>
    <w:uiPriority w:val="0"/>
    <w:pPr>
      <w:spacing w:after="500"/>
      <w:jc w:val="center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2">
    <w:name w:val="页脚 Char"/>
    <w:basedOn w:val="7"/>
    <w:qFormat/>
    <w:uiPriority w:val="0"/>
    <w:rPr>
      <w:rFonts w:hint="eastAsia" w:ascii="等线" w:hAnsi="等线" w:eastAsia="等线" w:cs="等线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0"/>
    <w:rPr>
      <w:sz w:val="18"/>
      <w:szCs w:val="18"/>
    </w:rPr>
  </w:style>
  <w:style w:type="character" w:customStyle="1" w:styleId="14">
    <w:name w:val="脚注文本 字符"/>
    <w:basedOn w:val="7"/>
    <w:link w:val="5"/>
    <w:qFormat/>
    <w:uiPriority w:val="0"/>
    <w:rPr>
      <w:rFonts w:hint="eastAsia" w:ascii="等线" w:hAnsi="等线" w:eastAsia="等线" w:cs="等线"/>
      <w:kern w:val="2"/>
      <w:sz w:val="18"/>
      <w:szCs w:val="18"/>
    </w:rPr>
  </w:style>
  <w:style w:type="character" w:customStyle="1" w:styleId="15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881</Words>
  <Characters>913</Characters>
  <Paragraphs>429</Paragraphs>
  <TotalTime>0</TotalTime>
  <ScaleCrop>false</ScaleCrop>
  <LinksUpToDate>false</LinksUpToDate>
  <CharactersWithSpaces>1156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2022-11-18T11:03:00Z</dcterms:created>
  <dc:creator>丹</dc:creator>
  <cp:lastModifiedBy>冬野</cp:lastModifiedBy>
  <cp:lastPrinted>2022-11-18T06:13:00Z</cp:lastPrinted>
  <dcterms:modified xsi:type="dcterms:W3CDTF">2022-11-19T01:32:45Z</dcterms:modified>
  <dc:title>关于开展黑龙江省第二届高等学校课程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b85d327949d3472e84843f8cd9823832</vt:lpwstr>
  </property>
</Properties>
</file>