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28"/>
          <w:szCs w:val="28"/>
        </w:rPr>
        <w:t>附表1</w:t>
      </w:r>
      <w:r>
        <w:rPr>
          <w:rFonts w:hint="eastAsia" w:ascii="黑体" w:hAnsi="宋体" w:eastAsia="黑体" w:cs="宋体"/>
          <w:sz w:val="32"/>
          <w:szCs w:val="32"/>
        </w:rPr>
        <w:t xml:space="preserve">          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  <w:lang w:val="zh-TW" w:eastAsia="zh-TW"/>
        </w:rPr>
      </w:pPr>
    </w:p>
    <w:p>
      <w:pPr>
        <w:spacing w:line="360" w:lineRule="auto"/>
        <w:rPr>
          <w:rFonts w:ascii="宋体" w:hAnsi="宋体" w:cs="宋体"/>
          <w:b/>
          <w:bCs/>
          <w:sz w:val="36"/>
          <w:szCs w:val="36"/>
          <w:lang w:val="zh-TW" w:eastAsia="zh-TW"/>
        </w:rPr>
      </w:pPr>
    </w:p>
    <w:p>
      <w:pPr>
        <w:spacing w:line="360" w:lineRule="auto"/>
        <w:rPr>
          <w:rFonts w:ascii="宋体" w:hAnsi="宋体" w:cs="宋体"/>
          <w:b/>
          <w:bCs/>
          <w:sz w:val="36"/>
          <w:szCs w:val="36"/>
          <w:lang w:val="zh-TW" w:eastAsia="zh-TW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TW"/>
        </w:rPr>
        <w:t>黑龙江省第二届高等学校课程思政教学竞赛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TW" w:eastAsia="zh-TW"/>
        </w:rPr>
        <w:t>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TW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TW" w:eastAsia="zh-TW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TW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TW" w:eastAsia="zh-TW"/>
        </w:rPr>
        <w:t>书</w:t>
      </w:r>
    </w:p>
    <w:p>
      <w:pPr>
        <w:widowControl/>
        <w:spacing w:after="156" w:afterLines="50"/>
        <w:jc w:val="left"/>
        <w:rPr>
          <w:rFonts w:ascii="宋体" w:hAnsi="宋体" w:cs="宋体"/>
          <w:b/>
          <w:kern w:val="0"/>
          <w:sz w:val="24"/>
        </w:rPr>
      </w:pPr>
    </w:p>
    <w:p>
      <w:pPr>
        <w:widowControl/>
        <w:spacing w:after="156" w:afterLines="50"/>
        <w:jc w:val="left"/>
        <w:rPr>
          <w:rFonts w:ascii="宋体" w:hAnsi="宋体" w:cs="宋体"/>
          <w:b/>
          <w:kern w:val="0"/>
          <w:sz w:val="24"/>
        </w:rPr>
      </w:pPr>
    </w:p>
    <w:p>
      <w:pPr>
        <w:widowControl/>
        <w:spacing w:after="156" w:afterLines="50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                 </w:t>
      </w:r>
    </w:p>
    <w:p>
      <w:pPr>
        <w:widowControl/>
        <w:spacing w:after="156" w:afterLines="50"/>
        <w:jc w:val="left"/>
        <w:rPr>
          <w:rFonts w:ascii="宋体" w:hAnsi="宋体" w:cs="宋体"/>
          <w:b/>
          <w:kern w:val="0"/>
          <w:sz w:val="24"/>
        </w:rPr>
      </w:pPr>
    </w:p>
    <w:p>
      <w:pPr>
        <w:widowControl/>
        <w:spacing w:after="156" w:afterLines="50" w:line="600" w:lineRule="exact"/>
        <w:ind w:firstLine="1920" w:firstLineChars="600"/>
        <w:jc w:val="left"/>
        <w:rPr>
          <w:rFonts w:ascii="黑体" w:hAnsi="宋体" w:eastAsia="黑体" w:cs="黑体"/>
          <w:bCs/>
          <w:kern w:val="0"/>
          <w:sz w:val="32"/>
          <w:szCs w:val="32"/>
          <w:u w:val="single"/>
        </w:rPr>
      </w:pPr>
      <w:r>
        <w:rPr>
          <w:rFonts w:hint="eastAsia" w:ascii="黑体" w:hAnsi="宋体" w:eastAsia="黑体" w:cs="黑体"/>
          <w:bCs/>
          <w:kern w:val="0"/>
          <w:sz w:val="32"/>
          <w:szCs w:val="32"/>
        </w:rPr>
        <w:t>参赛高校：</w:t>
      </w:r>
      <w:r>
        <w:rPr>
          <w:rFonts w:hint="eastAsia" w:ascii="黑体" w:hAnsi="宋体" w:eastAsia="黑体" w:cs="黑体"/>
          <w:bCs/>
          <w:kern w:val="0"/>
          <w:sz w:val="32"/>
          <w:szCs w:val="32"/>
          <w:u w:val="single"/>
        </w:rPr>
        <w:t xml:space="preserve">                     </w:t>
      </w:r>
    </w:p>
    <w:p>
      <w:pPr>
        <w:widowControl/>
        <w:spacing w:after="156" w:afterLines="50" w:line="600" w:lineRule="exact"/>
        <w:ind w:firstLine="1920" w:firstLineChars="600"/>
        <w:jc w:val="left"/>
        <w:rPr>
          <w:rFonts w:ascii="黑体" w:hAnsi="宋体" w:eastAsia="黑体" w:cs="黑体"/>
          <w:bCs/>
          <w:kern w:val="0"/>
          <w:sz w:val="32"/>
          <w:szCs w:val="32"/>
        </w:rPr>
      </w:pPr>
      <w:r>
        <w:rPr>
          <w:rFonts w:hint="eastAsia" w:ascii="黑体" w:hAnsi="宋体" w:eastAsia="黑体" w:cs="黑体"/>
          <w:bCs/>
          <w:kern w:val="0"/>
          <w:sz w:val="32"/>
          <w:szCs w:val="32"/>
        </w:rPr>
        <w:t>参赛课程：</w:t>
      </w:r>
      <w:r>
        <w:rPr>
          <w:rFonts w:hint="eastAsia" w:ascii="黑体" w:hAnsi="宋体" w:eastAsia="黑体" w:cs="黑体"/>
          <w:bCs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黑体" w:hAnsi="宋体" w:eastAsia="黑体" w:cs="黑体"/>
          <w:bCs/>
          <w:kern w:val="0"/>
          <w:sz w:val="32"/>
          <w:szCs w:val="32"/>
        </w:rPr>
        <w:t xml:space="preserve">   </w:t>
      </w:r>
    </w:p>
    <w:p>
      <w:pPr>
        <w:widowControl/>
        <w:spacing w:after="156" w:afterLines="50" w:line="600" w:lineRule="exact"/>
        <w:ind w:firstLine="1920" w:firstLineChars="600"/>
        <w:jc w:val="left"/>
        <w:rPr>
          <w:rFonts w:ascii="黑体" w:hAnsi="宋体" w:eastAsia="黑体" w:cs="黑体"/>
          <w:bCs/>
          <w:kern w:val="0"/>
          <w:sz w:val="32"/>
          <w:szCs w:val="32"/>
        </w:rPr>
      </w:pPr>
      <w:r>
        <w:rPr>
          <w:rFonts w:hint="eastAsia" w:ascii="黑体" w:hAnsi="宋体" w:eastAsia="黑体" w:cs="黑体"/>
          <w:bCs/>
          <w:kern w:val="0"/>
          <w:sz w:val="32"/>
          <w:szCs w:val="32"/>
        </w:rPr>
        <w:t>授课对象：</w:t>
      </w:r>
      <w:r>
        <w:rPr>
          <w:rFonts w:hint="eastAsia" w:ascii="黑体" w:hAnsi="宋体" w:eastAsia="黑体" w:cs="黑体"/>
          <w:bCs/>
          <w:kern w:val="0"/>
          <w:sz w:val="32"/>
          <w:szCs w:val="32"/>
          <w:u w:val="single"/>
        </w:rPr>
        <w:t xml:space="preserve">                     </w:t>
      </w:r>
    </w:p>
    <w:p>
      <w:pPr>
        <w:widowControl/>
        <w:spacing w:after="156" w:afterLines="50" w:line="600" w:lineRule="exact"/>
        <w:ind w:firstLine="1920" w:firstLineChars="600"/>
        <w:jc w:val="left"/>
        <w:rPr>
          <w:rFonts w:ascii="黑体" w:hAnsi="宋体" w:eastAsia="黑体" w:cs="黑体"/>
          <w:bCs/>
          <w:kern w:val="0"/>
          <w:sz w:val="32"/>
          <w:szCs w:val="32"/>
        </w:rPr>
      </w:pPr>
      <w:r>
        <w:rPr>
          <w:rFonts w:hint="eastAsia" w:ascii="黑体" w:hAnsi="宋体" w:eastAsia="黑体" w:cs="黑体"/>
          <w:bCs/>
          <w:kern w:val="0"/>
          <w:sz w:val="32"/>
          <w:szCs w:val="32"/>
        </w:rPr>
        <w:t>参赛教师：</w:t>
      </w:r>
      <w:r>
        <w:rPr>
          <w:rFonts w:hint="eastAsia" w:ascii="黑体" w:hAnsi="宋体" w:eastAsia="黑体" w:cs="黑体"/>
          <w:bCs/>
          <w:kern w:val="0"/>
          <w:sz w:val="32"/>
          <w:szCs w:val="32"/>
          <w:u w:val="single"/>
        </w:rPr>
        <w:t xml:space="preserve">                     </w:t>
      </w:r>
    </w:p>
    <w:p>
      <w:pPr>
        <w:widowControl/>
        <w:spacing w:after="156" w:afterLines="50" w:line="600" w:lineRule="exact"/>
        <w:ind w:firstLine="1920" w:firstLineChars="600"/>
        <w:jc w:val="left"/>
        <w:rPr>
          <w:rFonts w:ascii="黑体" w:hAnsi="宋体" w:eastAsia="黑体" w:cs="黑体"/>
          <w:bCs/>
          <w:kern w:val="0"/>
          <w:sz w:val="32"/>
          <w:szCs w:val="32"/>
        </w:rPr>
      </w:pPr>
      <w:r>
        <w:rPr>
          <w:rFonts w:hint="eastAsia" w:ascii="黑体" w:hAnsi="宋体" w:eastAsia="黑体" w:cs="黑体"/>
          <w:bCs/>
          <w:kern w:val="0"/>
          <w:sz w:val="32"/>
          <w:szCs w:val="32"/>
        </w:rPr>
        <w:t>联系方式：</w:t>
      </w:r>
      <w:r>
        <w:rPr>
          <w:rFonts w:hint="eastAsia" w:ascii="黑体" w:hAnsi="宋体" w:eastAsia="黑体" w:cs="黑体"/>
          <w:bCs/>
          <w:kern w:val="0"/>
          <w:sz w:val="32"/>
          <w:szCs w:val="32"/>
          <w:u w:val="single"/>
        </w:rPr>
        <w:t xml:space="preserve">                     </w:t>
      </w:r>
    </w:p>
    <w:p>
      <w:pPr>
        <w:widowControl/>
        <w:spacing w:after="156" w:afterLines="50"/>
        <w:jc w:val="left"/>
        <w:rPr>
          <w:rFonts w:ascii="宋体" w:hAnsi="宋体" w:cs="宋体"/>
          <w:b/>
          <w:kern w:val="0"/>
          <w:sz w:val="24"/>
        </w:rPr>
      </w:pPr>
    </w:p>
    <w:p>
      <w:pPr>
        <w:widowControl/>
        <w:spacing w:after="156" w:afterLines="50"/>
        <w:jc w:val="left"/>
        <w:rPr>
          <w:rFonts w:ascii="宋体" w:hAnsi="宋体" w:cs="宋体"/>
          <w:b/>
          <w:kern w:val="0"/>
          <w:sz w:val="24"/>
        </w:rPr>
      </w:pPr>
    </w:p>
    <w:p>
      <w:pPr>
        <w:widowControl/>
        <w:spacing w:after="156" w:afterLines="50"/>
        <w:jc w:val="left"/>
        <w:rPr>
          <w:rFonts w:ascii="宋体" w:hAnsi="宋体" w:cs="宋体"/>
          <w:b/>
          <w:kern w:val="0"/>
          <w:sz w:val="24"/>
        </w:rPr>
      </w:pPr>
    </w:p>
    <w:p>
      <w:pPr>
        <w:widowControl/>
        <w:spacing w:after="156" w:afterLines="50"/>
        <w:jc w:val="left"/>
        <w:rPr>
          <w:rFonts w:ascii="宋体" w:hAnsi="宋体" w:cs="宋体"/>
          <w:b/>
          <w:kern w:val="0"/>
          <w:sz w:val="24"/>
        </w:rPr>
      </w:pPr>
    </w:p>
    <w:p>
      <w:pPr>
        <w:widowControl/>
        <w:spacing w:line="560" w:lineRule="exact"/>
        <w:ind w:left="5120" w:hanging="5120" w:hangingChars="1600"/>
        <w:jc w:val="center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黑龙江省教育厅制</w:t>
      </w:r>
    </w:p>
    <w:p>
      <w:pPr>
        <w:widowControl/>
        <w:spacing w:line="560" w:lineRule="exact"/>
        <w:jc w:val="center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2022年11月</w:t>
      </w:r>
    </w:p>
    <w:p>
      <w:pPr>
        <w:widowControl/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  <w:sectPr>
          <w:footerReference r:id="rId4" w:type="default"/>
          <w:pgSz w:w="12240" w:h="15840"/>
          <w:pgMar w:top="1213" w:right="1800" w:bottom="1213" w:left="1800" w:header="1247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type="lines" w:linePitch="312" w:charSpace="0"/>
        </w:sectPr>
      </w:pPr>
    </w:p>
    <w:p>
      <w:pPr>
        <w:widowControl/>
        <w:spacing w:after="156" w:afterLines="50"/>
        <w:jc w:val="left"/>
        <w:rPr>
          <w:rFonts w:ascii="黑体" w:hAnsi="黑体" w:eastAsia="黑体" w:cs="黑体"/>
          <w:bCs/>
          <w:kern w:val="0"/>
          <w:sz w:val="24"/>
        </w:rPr>
      </w:pPr>
      <w:r>
        <w:rPr>
          <w:rFonts w:hint="eastAsia" w:ascii="黑体" w:hAnsi="黑体" w:eastAsia="黑体" w:cs="黑体"/>
          <w:bCs/>
          <w:kern w:val="0"/>
          <w:sz w:val="24"/>
        </w:rPr>
        <w:t>一、基本情况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826"/>
        <w:gridCol w:w="1645"/>
        <w:gridCol w:w="812"/>
        <w:gridCol w:w="1139"/>
        <w:gridCol w:w="1093"/>
        <w:gridCol w:w="1248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主讲教师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年月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2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面貌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学历/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2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所在单位</w:t>
            </w:r>
          </w:p>
        </w:tc>
        <w:tc>
          <w:tcPr>
            <w:tcW w:w="3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2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Email</w:t>
            </w:r>
          </w:p>
        </w:tc>
        <w:tc>
          <w:tcPr>
            <w:tcW w:w="3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课程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情况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课程名称</w:t>
            </w:r>
          </w:p>
        </w:tc>
        <w:tc>
          <w:tcPr>
            <w:tcW w:w="3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课程</w:t>
            </w:r>
            <w:r>
              <w:rPr>
                <w:rStyle w:val="8"/>
                <w:rFonts w:hint="eastAsia" w:ascii="仿宋_GB2312" w:hAnsi="仿宋_GB2312" w:eastAsia="仿宋_GB2312" w:cs="仿宋_GB2312"/>
                <w:szCs w:val="22"/>
              </w:rPr>
              <w:footnoteReference w:id="0"/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类型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2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开课年级</w:t>
            </w:r>
          </w:p>
        </w:tc>
        <w:tc>
          <w:tcPr>
            <w:tcW w:w="3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ind w:firstLine="3360" w:firstLineChars="16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·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学科</w:t>
            </w:r>
            <w:r>
              <w:rPr>
                <w:rStyle w:val="8"/>
                <w:rFonts w:hint="eastAsia" w:ascii="仿宋_GB2312" w:hAnsi="仿宋_GB2312" w:eastAsia="仿宋_GB2312" w:cs="仿宋_GB2312"/>
                <w:szCs w:val="22"/>
              </w:rPr>
              <w:footnoteReference w:id="1"/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门类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况</w:t>
            </w:r>
          </w:p>
        </w:tc>
        <w:tc>
          <w:tcPr>
            <w:tcW w:w="82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参赛教师课程思政建设方面取得成果及获奖情况等）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ascii="黑体" w:hAnsi="黑体" w:eastAsia="黑体" w:cs="黑体"/>
          <w:bCs/>
          <w:kern w:val="0"/>
          <w:sz w:val="24"/>
        </w:rPr>
      </w:pPr>
      <w:r>
        <w:rPr>
          <w:rFonts w:hint="eastAsia" w:ascii="黑体" w:hAnsi="黑体" w:eastAsia="黑体" w:cs="黑体"/>
          <w:bCs/>
          <w:kern w:val="0"/>
          <w:sz w:val="24"/>
        </w:rPr>
        <w:t>二、参赛教师近三年内讲授参赛课程情况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731"/>
        <w:gridCol w:w="1705"/>
        <w:gridCol w:w="1617"/>
        <w:gridCol w:w="1343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课程名称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授课学期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授课学时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授课对象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总人数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教学效果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XXX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ascii="黑体" w:hAnsi="黑体" w:eastAsia="黑体" w:cs="黑体"/>
          <w:bCs/>
          <w:kern w:val="0"/>
          <w:sz w:val="24"/>
        </w:rPr>
      </w:pPr>
      <w:r>
        <w:rPr>
          <w:rFonts w:hint="eastAsia" w:ascii="黑体" w:hAnsi="黑体" w:eastAsia="黑体" w:cs="黑体"/>
          <w:bCs/>
          <w:kern w:val="0"/>
          <w:sz w:val="24"/>
        </w:rPr>
        <w:t>三、课程思政建设情况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6" w:hRule="exact"/>
          <w:jc w:val="center"/>
        </w:trPr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1.总体设计情况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（描述如何结合本校办学定位、专业特色和人才培养要求，准确把握本课程的课程思政建设方向和重点，科学设计本课程的课程思政建设目标，优化课程思政内容供给，将价值塑造、知识传授和能力培养紧密融合等情况，500字左右）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6" w:hRule="exact"/>
          <w:jc w:val="center"/>
        </w:trPr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2.教学实践及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成效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（描述如何深入挖掘思想政治教育资源，完善课程内容，改进教学方法，探索创新课程思政建设模式和方法路径，将课程思政建设目标融入教学全过程，课程思政教学改革成效、示范辐射等情况，800字左右）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exact"/>
          <w:jc w:val="center"/>
        </w:trPr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3.课程特色与创新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（概述在课程思政建设方面的特色、亮点和创新点，形成的可供同类课程借鉴共享的经验做法等，500字左右）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pStyle w:val="9"/>
        <w:widowControl/>
        <w:spacing w:after="156" w:afterLines="50" w:line="340" w:lineRule="atLeast"/>
        <w:ind w:firstLine="0" w:firstLineChars="0"/>
        <w:rPr>
          <w:rFonts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kern w:val="0"/>
          <w:sz w:val="24"/>
          <w:szCs w:val="24"/>
        </w:rPr>
        <w:t>四、附件材料清单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ind w:firstLine="422" w:firstLineChars="200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2"/>
              </w:rPr>
              <w:t>1.教学大纲</w:t>
            </w:r>
          </w:p>
          <w:p>
            <w:pPr>
              <w:spacing w:line="340" w:lineRule="exact"/>
              <w:ind w:left="420" w:leftChars="200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2"/>
              </w:rPr>
              <w:t>2.课程教案</w:t>
            </w:r>
          </w:p>
          <w:p>
            <w:pPr>
              <w:spacing w:line="340" w:lineRule="exact"/>
              <w:ind w:left="420" w:leftChars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（提供参赛课程完整教案）</w:t>
            </w:r>
          </w:p>
          <w:p>
            <w:pPr>
              <w:spacing w:line="340" w:lineRule="exact"/>
              <w:ind w:left="420" w:leftChars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2"/>
              </w:rPr>
              <w:t>3.教学设计典型案例</w:t>
            </w:r>
          </w:p>
          <w:p>
            <w:pPr>
              <w:spacing w:line="340" w:lineRule="exact"/>
              <w:ind w:firstLine="420" w:firstLineChars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（提供2个教学设计典型案例，每个案例需提供1个学时的完整教学设计和教学实施流程说明，尽可能细致地反映出教师的思考和教学设计，每个案例不少于5张图片，应具有较强的可读性，图文结合，表述清晰流畅）</w:t>
            </w:r>
          </w:p>
          <w:p>
            <w:pPr>
              <w:spacing w:line="340" w:lineRule="exact"/>
              <w:ind w:left="420" w:leftChars="200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2"/>
              </w:rPr>
              <w:t>4.现场说课及教学演示PPT文稿</w:t>
            </w:r>
          </w:p>
          <w:p>
            <w:pPr>
              <w:spacing w:line="340" w:lineRule="exact"/>
              <w:ind w:firstLine="420" w:firstLineChars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（提供10分钟说课+20分钟教学演示PPT文稿，每位参赛教师说课与教学演示连续进行，整合为1个PPT文件即可。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2"/>
              </w:rPr>
              <w:t>若为体育、艺术等实践类课程，教师可通过视频结合方式进行现场教学演示</w:t>
            </w:r>
            <w:r>
              <w:rPr>
                <w:rFonts w:hint="eastAsia" w:ascii="仿宋_GB2312" w:hAnsi="仿宋_GB2312" w:eastAsia="仿宋_GB2312" w:cs="仿宋_GB2312"/>
                <w:szCs w:val="22"/>
              </w:rPr>
              <w:t>）。</w:t>
            </w:r>
          </w:p>
          <w:p>
            <w:pPr>
              <w:spacing w:line="340" w:lineRule="atLeast"/>
              <w:ind w:firstLine="422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以上材料根据各校授课实际准备，无统一模板要求。所有材料均可能网上公开，请严格审查，确保不违反有关法律及保密规定。</w:t>
            </w:r>
          </w:p>
        </w:tc>
      </w:tr>
    </w:tbl>
    <w:p>
      <w:pPr>
        <w:widowControl/>
        <w:spacing w:before="156" w:beforeLines="50" w:after="156" w:afterLines="50"/>
        <w:jc w:val="left"/>
        <w:rPr>
          <w:rFonts w:ascii="黑体" w:hAnsi="黑体" w:eastAsia="黑体" w:cs="黑体"/>
          <w:bCs/>
          <w:kern w:val="0"/>
          <w:sz w:val="24"/>
        </w:rPr>
      </w:pPr>
      <w:r>
        <w:rPr>
          <w:rFonts w:hint="eastAsia" w:ascii="黑体" w:hAnsi="黑体" w:eastAsia="黑体" w:cs="黑体"/>
          <w:bCs/>
          <w:kern w:val="0"/>
          <w:sz w:val="24"/>
        </w:rPr>
        <w:t>五、推荐意见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7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学校教务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部门意见</w:t>
            </w:r>
          </w:p>
        </w:tc>
        <w:tc>
          <w:tcPr>
            <w:tcW w:w="7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280"/>
              <w:rPr>
                <w:rFonts w:ascii="仿宋_GB2312" w:hAnsi="仿宋_GB2312" w:eastAsia="仿宋_GB2312" w:cs="仿宋_GB2312"/>
              </w:rPr>
            </w:pPr>
          </w:p>
          <w:p>
            <w:pPr>
              <w:ind w:right="280"/>
              <w:rPr>
                <w:rFonts w:ascii="仿宋_GB2312" w:hAnsi="仿宋_GB2312" w:eastAsia="仿宋_GB2312" w:cs="仿宋_GB2312"/>
              </w:rPr>
            </w:pPr>
          </w:p>
          <w:p>
            <w:pPr>
              <w:ind w:right="280"/>
              <w:rPr>
                <w:rFonts w:ascii="仿宋_GB2312" w:hAnsi="仿宋_GB2312" w:eastAsia="仿宋_GB2312" w:cs="仿宋_GB2312"/>
              </w:rPr>
            </w:pPr>
          </w:p>
          <w:p>
            <w:pPr>
              <w:ind w:right="280"/>
              <w:rPr>
                <w:rFonts w:ascii="仿宋_GB2312" w:hAnsi="仿宋_GB2312" w:eastAsia="仿宋_GB2312" w:cs="仿宋_GB2312"/>
              </w:rPr>
            </w:pPr>
          </w:p>
          <w:p>
            <w:pPr>
              <w:ind w:right="280"/>
              <w:rPr>
                <w:rFonts w:ascii="仿宋_GB2312" w:hAnsi="仿宋_GB2312" w:eastAsia="仿宋_GB2312" w:cs="仿宋_GB2312"/>
              </w:rPr>
            </w:pPr>
          </w:p>
          <w:p>
            <w:pPr>
              <w:ind w:right="280"/>
              <w:rPr>
                <w:rFonts w:ascii="仿宋_GB2312" w:hAnsi="仿宋_GB2312" w:eastAsia="仿宋_GB2312" w:cs="仿宋_GB2312"/>
              </w:rPr>
            </w:pPr>
          </w:p>
          <w:p>
            <w:pPr>
              <w:ind w:right="280"/>
              <w:rPr>
                <w:rFonts w:ascii="仿宋_GB2312" w:hAnsi="仿宋_GB2312" w:eastAsia="仿宋_GB2312" w:cs="仿宋_GB2312"/>
              </w:rPr>
            </w:pPr>
          </w:p>
          <w:p>
            <w:pPr>
              <w:ind w:right="280"/>
              <w:rPr>
                <w:rFonts w:ascii="仿宋_GB2312" w:hAnsi="仿宋_GB2312" w:eastAsia="仿宋_GB2312" w:cs="仿宋_GB2312"/>
              </w:rPr>
            </w:pPr>
          </w:p>
          <w:p>
            <w:pPr>
              <w:ind w:right="280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400" w:lineRule="exact"/>
              <w:ind w:right="28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 xml:space="preserve">                                         （盖章）</w:t>
            </w:r>
          </w:p>
          <w:p>
            <w:pPr>
              <w:tabs>
                <w:tab w:val="left" w:pos="4750"/>
              </w:tabs>
              <w:spacing w:line="400" w:lineRule="exact"/>
              <w:ind w:firstLine="3150" w:firstLineChars="15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学校政治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审查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及推荐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意见</w:t>
            </w:r>
          </w:p>
        </w:tc>
        <w:tc>
          <w:tcPr>
            <w:tcW w:w="7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参赛课程内容及上传的相关材料思想导向正确，不存在政治性问题。</w:t>
            </w:r>
          </w:p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参赛教师遵纪守法，无违法违纪行为，不存在师德师风问题、学术不端等问题，三年内未出现过教学事故。</w:t>
            </w:r>
          </w:p>
          <w:p>
            <w:pPr>
              <w:tabs>
                <w:tab w:val="left" w:pos="4391"/>
              </w:tabs>
              <w:ind w:right="400"/>
              <w:jc w:val="right"/>
              <w:rPr>
                <w:rFonts w:ascii="仿宋_GB2312" w:hAnsi="仿宋_GB2312" w:eastAsia="仿宋_GB2312" w:cs="仿宋_GB2312"/>
              </w:rPr>
            </w:pPr>
          </w:p>
          <w:p>
            <w:pPr>
              <w:tabs>
                <w:tab w:val="left" w:pos="4391"/>
              </w:tabs>
              <w:ind w:right="400"/>
              <w:jc w:val="right"/>
              <w:rPr>
                <w:rFonts w:ascii="仿宋_GB2312" w:hAnsi="仿宋_GB2312" w:eastAsia="仿宋_GB2312" w:cs="仿宋_GB2312"/>
              </w:rPr>
            </w:pPr>
          </w:p>
          <w:p>
            <w:pPr>
              <w:tabs>
                <w:tab w:val="left" w:pos="4391"/>
              </w:tabs>
              <w:ind w:right="400"/>
              <w:jc w:val="right"/>
              <w:rPr>
                <w:rFonts w:ascii="仿宋_GB2312" w:hAnsi="仿宋_GB2312" w:eastAsia="仿宋_GB2312" w:cs="仿宋_GB2312"/>
              </w:rPr>
            </w:pPr>
          </w:p>
          <w:p>
            <w:pPr>
              <w:tabs>
                <w:tab w:val="left" w:pos="4391"/>
              </w:tabs>
              <w:ind w:right="400"/>
              <w:jc w:val="right"/>
              <w:rPr>
                <w:rFonts w:ascii="仿宋_GB2312" w:hAnsi="仿宋_GB2312" w:eastAsia="仿宋_GB2312" w:cs="仿宋_GB2312"/>
              </w:rPr>
            </w:pPr>
          </w:p>
          <w:p>
            <w:pPr>
              <w:tabs>
                <w:tab w:val="left" w:pos="4391"/>
              </w:tabs>
              <w:ind w:right="400"/>
              <w:jc w:val="right"/>
              <w:rPr>
                <w:rFonts w:ascii="仿宋_GB2312" w:hAnsi="仿宋_GB2312" w:eastAsia="仿宋_GB2312" w:cs="仿宋_GB2312"/>
              </w:rPr>
            </w:pPr>
          </w:p>
          <w:p>
            <w:pPr>
              <w:tabs>
                <w:tab w:val="left" w:pos="4391"/>
              </w:tabs>
              <w:ind w:right="400"/>
              <w:jc w:val="right"/>
              <w:rPr>
                <w:rFonts w:ascii="仿宋_GB2312" w:hAnsi="仿宋_GB2312" w:eastAsia="仿宋_GB2312" w:cs="仿宋_GB2312"/>
              </w:rPr>
            </w:pPr>
          </w:p>
          <w:p>
            <w:pPr>
              <w:tabs>
                <w:tab w:val="left" w:pos="4391"/>
              </w:tabs>
              <w:spacing w:line="400" w:lineRule="exact"/>
              <w:ind w:right="40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>学校党委（盖章）</w:t>
            </w:r>
          </w:p>
          <w:p>
            <w:pPr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2"/>
              </w:rPr>
              <w:t xml:space="preserve">                                        年   月   日</w:t>
            </w:r>
          </w:p>
        </w:tc>
      </w:tr>
    </w:tbl>
    <w:p>
      <w:pPr>
        <w:rPr>
          <w:rFonts w:eastAsia="仿宋_GB2312"/>
          <w:color w:val="auto"/>
          <w:sz w:val="22"/>
          <w:szCs w:val="22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shape id="4097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5"/>
        <w:widowControl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2"/>
          <w:vertAlign w:val="superscript"/>
        </w:rPr>
        <w:t>1</w:t>
      </w:r>
      <w:r>
        <w:rPr>
          <w:rFonts w:hint="eastAsia" w:ascii="宋体" w:hAnsi="宋体" w:eastAsia="宋体" w:cs="宋体"/>
          <w:sz w:val="21"/>
          <w:szCs w:val="22"/>
        </w:rPr>
        <w:t>分公共基础课程、专业教育课程、实践类课程三类</w:t>
      </w:r>
    </w:p>
    <w:p>
      <w:pPr>
        <w:pStyle w:val="5"/>
        <w:widowControl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vertAlign w:val="superscript"/>
        </w:rPr>
        <w:t>2</w:t>
      </w:r>
      <w:r>
        <w:rPr>
          <w:rFonts w:hint="eastAsia" w:ascii="宋体" w:hAnsi="宋体" w:eastAsia="宋体" w:cs="宋体"/>
        </w:rPr>
        <w:t>按照教育部颁布的《普通高等学校本科专业目录（2020年版）》的学科门类填写：哲学—01，经济学—02，法学—03，教育学—04，文学—05，历史学—06，理学—07，工学—08，农学—09，医学—10，管理学—12，艺术学－13;按照教育部《职业教育专业目录（2021年）》填写：农林牧渔大类—41，资源环境与安全大类—42，能源动力与材料大类—43，土木建筑大类—44，水利大类—45，装备制造大类—46，生物与化工大类—47，轻工纺织大类—48，食品药品与粮食大类—49，交通运输大类—50，电子与信息大类—51，医药卫生大类—52，财经商贸大类—53，旅游大类—54，文化艺术大类—55，新闻传播大类—56，教育与体育大类—57，公安与司法大类—58，公共管理与服务大类—59</w:t>
      </w:r>
    </w:p>
    <w:p>
      <w:pPr>
        <w:pStyle w:val="5"/>
        <w:widowControl/>
        <w:rPr>
          <w:rFonts w:ascii="宋体" w:hAnsi="宋体" w:eastAsia="宋体" w:cs="宋体"/>
        </w:rPr>
      </w:pPr>
    </w:p>
  </w:footnote>
  <w:footnote w:id="1">
    <w:p>
      <w:pPr>
        <w:pStyle w:val="5"/>
        <w:widowControl/>
        <w:rPr>
          <w:rFonts w:ascii="宋体" w:hAnsi="宋体" w:eastAsia="宋体" w:cs="宋体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TJlYmM2YjFmNGJkZTc1ZjU1NjNjNzM0ODg4MzNhMGUifQ=="/>
  </w:docVars>
  <w:rsids>
    <w:rsidRoot w:val="00000000"/>
    <w:rsid w:val="0595222B"/>
    <w:rsid w:val="0ABE60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0"/>
    <w:rPr>
      <w:sz w:val="18"/>
      <w:szCs w:val="18"/>
    </w:r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qFormat/>
    <w:uiPriority w:val="0"/>
    <w:pPr>
      <w:snapToGrid w:val="0"/>
      <w:jc w:val="left"/>
    </w:pPr>
    <w:rPr>
      <w:rFonts w:ascii="Calibri" w:hAnsi="Calibri" w:eastAsia="等线"/>
      <w:sz w:val="18"/>
      <w:szCs w:val="18"/>
    </w:rPr>
  </w:style>
  <w:style w:type="character" w:styleId="8">
    <w:name w:val="footnote reference"/>
    <w:basedOn w:val="7"/>
    <w:uiPriority w:val="0"/>
    <w:rPr>
      <w:vertAlign w:val="superscript"/>
    </w:rPr>
  </w:style>
  <w:style w:type="paragraph" w:customStyle="1" w:styleId="9">
    <w:name w:val="msolistparagraph"/>
    <w:basedOn w:val="1"/>
    <w:uiPriority w:val="0"/>
    <w:pPr>
      <w:ind w:firstLine="420" w:firstLineChars="200"/>
    </w:pPr>
    <w:rPr>
      <w:rFonts w:ascii="Calibri" w:hAnsi="Calibri" w:eastAsia="等线"/>
      <w:szCs w:val="22"/>
    </w:rPr>
  </w:style>
  <w:style w:type="paragraph" w:customStyle="1" w:styleId="10">
    <w:name w:val="List Paragraph_e3089529-1fe3-4962-8afb-22aebb055a3d"/>
    <w:basedOn w:val="1"/>
    <w:qFormat/>
    <w:uiPriority w:val="99"/>
    <w:pPr>
      <w:ind w:firstLine="420" w:firstLineChars="200"/>
    </w:pPr>
  </w:style>
  <w:style w:type="paragraph" w:customStyle="1" w:styleId="11">
    <w:name w:val="Body text|3"/>
    <w:basedOn w:val="1"/>
    <w:qFormat/>
    <w:uiPriority w:val="0"/>
    <w:pPr>
      <w:spacing w:after="500"/>
      <w:jc w:val="center"/>
    </w:pPr>
    <w:rPr>
      <w:rFonts w:ascii="宋体" w:hAnsi="宋体" w:eastAsia="宋体" w:cs="宋体"/>
      <w:sz w:val="44"/>
      <w:szCs w:val="44"/>
      <w:lang w:val="zh-TW" w:eastAsia="zh-TW" w:bidi="zh-TW"/>
    </w:rPr>
  </w:style>
  <w:style w:type="character" w:customStyle="1" w:styleId="12">
    <w:name w:val="页脚 Char"/>
    <w:basedOn w:val="7"/>
    <w:qFormat/>
    <w:uiPriority w:val="0"/>
    <w:rPr>
      <w:rFonts w:hint="eastAsia" w:ascii="等线" w:hAnsi="等线" w:eastAsia="等线" w:cs="等线"/>
      <w:kern w:val="2"/>
      <w:sz w:val="18"/>
      <w:szCs w:val="18"/>
    </w:rPr>
  </w:style>
  <w:style w:type="character" w:customStyle="1" w:styleId="13">
    <w:name w:val="页脚 字符"/>
    <w:basedOn w:val="7"/>
    <w:link w:val="3"/>
    <w:uiPriority w:val="0"/>
    <w:rPr>
      <w:sz w:val="18"/>
      <w:szCs w:val="18"/>
    </w:rPr>
  </w:style>
  <w:style w:type="character" w:customStyle="1" w:styleId="14">
    <w:name w:val="脚注文本 字符"/>
    <w:basedOn w:val="7"/>
    <w:link w:val="5"/>
    <w:qFormat/>
    <w:uiPriority w:val="0"/>
    <w:rPr>
      <w:rFonts w:hint="eastAsia" w:ascii="等线" w:hAnsi="等线" w:eastAsia="等线" w:cs="等线"/>
      <w:kern w:val="2"/>
      <w:sz w:val="18"/>
      <w:szCs w:val="18"/>
    </w:rPr>
  </w:style>
  <w:style w:type="character" w:customStyle="1" w:styleId="15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6">
    <w:name w:val="批注框文本 字符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881</Words>
  <Characters>913</Characters>
  <Paragraphs>429</Paragraphs>
  <TotalTime>0</TotalTime>
  <ScaleCrop>false</ScaleCrop>
  <LinksUpToDate>false</LinksUpToDate>
  <CharactersWithSpaces>1156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2022-11-18T11:03:00Z</dcterms:created>
  <dc:creator>丹</dc:creator>
  <cp:lastModifiedBy>冬野</cp:lastModifiedBy>
  <cp:lastPrinted>2022-11-18T06:13:00Z</cp:lastPrinted>
  <dcterms:modified xsi:type="dcterms:W3CDTF">2022-11-19T01:32:45Z</dcterms:modified>
  <dc:title>关于开展黑龙江省第二届高等学校课程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b85d327949d3472e84843f8cd9823832</vt:lpwstr>
  </property>
</Properties>
</file>